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8076" w14:textId="225347D1" w:rsidR="005C260E" w:rsidRDefault="0068052D" w:rsidP="005C260E">
      <w:pPr>
        <w:spacing w:after="0"/>
        <w:ind w:left="907" w:right="634"/>
        <w:rPr>
          <w:rFonts w:ascii="Corbel" w:hAnsi="Corbel" w:cs="Times New Roman"/>
          <w:spacing w:val="24"/>
          <w:sz w:val="44"/>
          <w:szCs w:val="44"/>
        </w:rPr>
      </w:pPr>
      <w:r>
        <w:rPr>
          <w:rFonts w:ascii="Corbel" w:hAnsi="Corbel" w:cs="Times New Roman"/>
          <w:noProof/>
          <w:spacing w:val="24"/>
          <w:sz w:val="44"/>
          <w:szCs w:val="44"/>
        </w:rPr>
        <w:drawing>
          <wp:anchor distT="0" distB="0" distL="114300" distR="114300" simplePos="0" relativeHeight="251658752" behindDoc="0" locked="0" layoutInCell="1" allowOverlap="1" wp14:anchorId="137FD2B1" wp14:editId="5327ECFD">
            <wp:simplePos x="0" y="0"/>
            <wp:positionH relativeFrom="column">
              <wp:posOffset>4127869</wp:posOffset>
            </wp:positionH>
            <wp:positionV relativeFrom="paragraph">
              <wp:posOffset>-13989</wp:posOffset>
            </wp:positionV>
            <wp:extent cx="2146299" cy="1609725"/>
            <wp:effectExtent l="0" t="0" r="0" b="0"/>
            <wp:wrapNone/>
            <wp:docPr id="1961190195" name="Picture 1" descr="A black battery with copper bo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190195" name="Picture 1" descr="A black battery with copper bol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46299"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60E">
        <w:rPr>
          <w:rFonts w:ascii="Corbel" w:hAnsi="Corbel" w:cs="Times New Roman"/>
          <w:spacing w:val="24"/>
          <w:sz w:val="44"/>
          <w:szCs w:val="44"/>
        </w:rPr>
        <w:t>Heavy Duty</w:t>
      </w:r>
    </w:p>
    <w:p w14:paraId="493C24CA" w14:textId="361883CB" w:rsidR="005C260E" w:rsidRPr="00C04B03" w:rsidRDefault="005C260E" w:rsidP="005C260E">
      <w:pPr>
        <w:spacing w:after="0"/>
        <w:ind w:left="907" w:right="634"/>
        <w:rPr>
          <w:rFonts w:ascii="Corbel" w:hAnsi="Corbel" w:cs="Times New Roman"/>
          <w:spacing w:val="24"/>
          <w:sz w:val="44"/>
          <w:szCs w:val="44"/>
        </w:rPr>
      </w:pPr>
      <w:r>
        <w:rPr>
          <w:rFonts w:ascii="Corbel" w:hAnsi="Corbel" w:cs="Times New Roman"/>
          <w:spacing w:val="24"/>
          <w:sz w:val="44"/>
          <w:szCs w:val="44"/>
        </w:rPr>
        <w:t>Battery Guard</w:t>
      </w:r>
      <w:r w:rsidRPr="00B61074">
        <w:rPr>
          <w:rFonts w:ascii="Corbel" w:hAnsi="Corbel" w:cs="Times New Roman"/>
          <w:spacing w:val="24"/>
          <w:sz w:val="44"/>
          <w:szCs w:val="44"/>
          <w:vertAlign w:val="superscript"/>
        </w:rPr>
        <w:t>®</w:t>
      </w:r>
      <w:r>
        <w:rPr>
          <w:rFonts w:ascii="Corbel" w:hAnsi="Corbel" w:cs="Times New Roman"/>
          <w:spacing w:val="24"/>
          <w:sz w:val="44"/>
          <w:szCs w:val="44"/>
        </w:rPr>
        <w:t xml:space="preserve"> 1000 (12v)</w:t>
      </w:r>
    </w:p>
    <w:p w14:paraId="235C30D4" w14:textId="7A296D4E" w:rsidR="005C260E" w:rsidRPr="00763363" w:rsidRDefault="005C260E" w:rsidP="005C260E">
      <w:pPr>
        <w:spacing w:after="0"/>
        <w:ind w:left="900" w:right="630"/>
      </w:pPr>
      <w:r w:rsidRPr="00763363">
        <w:t>Part number:</w:t>
      </w:r>
      <w:r>
        <w:t xml:space="preserve"> 00-011</w:t>
      </w:r>
      <w:r w:rsidR="0031325E">
        <w:t>45</w:t>
      </w:r>
      <w:r>
        <w:t>-000</w:t>
      </w:r>
    </w:p>
    <w:p w14:paraId="096FBD3B" w14:textId="77777777" w:rsidR="005C260E" w:rsidRDefault="005C260E" w:rsidP="005C260E">
      <w:pPr>
        <w:spacing w:after="120"/>
        <w:ind w:right="900"/>
        <w:rPr>
          <w:u w:val="single"/>
        </w:rPr>
      </w:pPr>
    </w:p>
    <w:p w14:paraId="1EBB236D" w14:textId="77777777" w:rsidR="005C260E" w:rsidRDefault="005C260E" w:rsidP="005C260E">
      <w:pPr>
        <w:spacing w:after="120"/>
        <w:ind w:right="900"/>
        <w:rPr>
          <w:u w:val="single"/>
        </w:rPr>
      </w:pPr>
    </w:p>
    <w:p w14:paraId="2F7753DF" w14:textId="77777777" w:rsidR="005C260E" w:rsidRDefault="005C260E" w:rsidP="005C260E">
      <w:pPr>
        <w:pStyle w:val="BodyText"/>
        <w:widowControl w:val="0"/>
        <w:spacing w:before="12"/>
        <w:rPr>
          <w14:ligatures w14:val="none"/>
        </w:rPr>
      </w:pPr>
    </w:p>
    <w:p w14:paraId="1C882150" w14:textId="3E1787A1" w:rsidR="00864269" w:rsidRDefault="00864269" w:rsidP="00864269">
      <w:pPr>
        <w:widowControl w:val="0"/>
        <w:spacing w:after="0" w:line="240" w:lineRule="auto"/>
        <w:ind w:left="720"/>
      </w:pPr>
      <w:r>
        <w:t>The HD Battery Guard</w:t>
      </w:r>
      <w:r>
        <w:rPr>
          <w:rFonts w:cstheme="minorHAnsi"/>
        </w:rPr>
        <w:t>®</w:t>
      </w:r>
      <w:r>
        <w:t xml:space="preserve"> 1000 provides a solution for protecting your batteries from discharging to a level that might damage your batteries or to a level that prevents the vehicle from being started. The HD Battery Guard</w:t>
      </w:r>
      <w:r>
        <w:rPr>
          <w:rFonts w:cstheme="minorHAnsi"/>
        </w:rPr>
        <w:t>®</w:t>
      </w:r>
      <w:r>
        <w:t xml:space="preserve"> 1000 constantly monitors the voltage level of the battery to determine the level of charge. When the voltage drops below the low voltage threshold for a specified duration of time, the HD Battery Guard</w:t>
      </w:r>
      <w:r>
        <w:rPr>
          <w:rFonts w:cstheme="minorHAnsi"/>
        </w:rPr>
        <w:t>®</w:t>
      </w:r>
      <w:r>
        <w:t xml:space="preserve"> 1000 will automatically disconnect the battery from the system load, protecting the battery from excessive discharge. </w:t>
      </w:r>
    </w:p>
    <w:p w14:paraId="2D72CA03" w14:textId="77777777" w:rsidR="00864269" w:rsidRDefault="00864269" w:rsidP="00864269">
      <w:pPr>
        <w:widowControl w:val="0"/>
        <w:spacing w:after="0" w:line="240" w:lineRule="auto"/>
        <w:ind w:left="720"/>
      </w:pPr>
    </w:p>
    <w:p w14:paraId="27BCA7AA" w14:textId="616E983C" w:rsidR="00864269" w:rsidRDefault="00864269" w:rsidP="00864269">
      <w:pPr>
        <w:widowControl w:val="0"/>
        <w:spacing w:after="0" w:line="240" w:lineRule="auto"/>
        <w:ind w:left="720"/>
        <w:rPr>
          <w:rFonts w:cstheme="minorHAnsi"/>
        </w:rPr>
      </w:pPr>
      <w:r>
        <w:t>If the HD Battery Guard 1000</w:t>
      </w:r>
      <w:r>
        <w:rPr>
          <w:rFonts w:cstheme="minorHAnsi"/>
        </w:rPr>
        <w:t>® senses a charging potential for a specified duration of time, then it will automatically reconnect the system load. This condition usually occurs when a charging device is connected to the battery, or the engine is running.</w:t>
      </w:r>
    </w:p>
    <w:p w14:paraId="0B78DEAE" w14:textId="77777777" w:rsidR="00864269" w:rsidRDefault="00864269" w:rsidP="00864269">
      <w:pPr>
        <w:widowControl w:val="0"/>
        <w:spacing w:after="0" w:line="240" w:lineRule="auto"/>
        <w:ind w:left="720"/>
        <w:rPr>
          <w:rFonts w:cstheme="minorHAnsi"/>
        </w:rPr>
      </w:pPr>
    </w:p>
    <w:p w14:paraId="37037C59" w14:textId="77777777" w:rsidR="00864269" w:rsidRPr="00A24DA3" w:rsidRDefault="00864269" w:rsidP="00864269">
      <w:pPr>
        <w:widowControl w:val="0"/>
        <w:spacing w:after="0" w:line="240" w:lineRule="auto"/>
        <w:ind w:left="720"/>
        <w:rPr>
          <w:rFonts w:cstheme="minorHAnsi"/>
          <w:b/>
          <w:bCs/>
          <w:u w:val="single"/>
        </w:rPr>
      </w:pPr>
      <w:r w:rsidRPr="00A24DA3">
        <w:rPr>
          <w:rFonts w:cstheme="minorHAnsi"/>
          <w:b/>
          <w:bCs/>
          <w:u w:val="single"/>
        </w:rPr>
        <w:t>Connecting and Disconnecting the System Loads</w:t>
      </w:r>
    </w:p>
    <w:p w14:paraId="1BC63295" w14:textId="77777777" w:rsidR="00864269" w:rsidRPr="0064006A" w:rsidRDefault="00864269" w:rsidP="00864269">
      <w:pPr>
        <w:widowControl w:val="0"/>
        <w:spacing w:after="0" w:line="240" w:lineRule="auto"/>
        <w:ind w:left="720"/>
        <w:rPr>
          <w:rFonts w:cstheme="minorHAnsi"/>
          <w:b/>
          <w:bCs/>
          <w:u w:val="single"/>
        </w:rPr>
      </w:pPr>
    </w:p>
    <w:p w14:paraId="1D8F4636" w14:textId="0E9C7ECF" w:rsidR="00864269" w:rsidRDefault="00864269" w:rsidP="00864269">
      <w:pPr>
        <w:widowControl w:val="0"/>
        <w:spacing w:after="0" w:line="240" w:lineRule="auto"/>
        <w:ind w:left="720"/>
      </w:pPr>
      <w:r>
        <w:rPr>
          <w:rFonts w:cstheme="minorHAnsi"/>
        </w:rPr>
        <w:t xml:space="preserve">The HD </w:t>
      </w:r>
      <w:r>
        <w:t>Battery Guard</w:t>
      </w:r>
      <w:r>
        <w:rPr>
          <w:rFonts w:cstheme="minorHAnsi"/>
        </w:rPr>
        <w:t>®</w:t>
      </w:r>
      <w:r>
        <w:t xml:space="preserve"> 1000 accepts a momentary </w:t>
      </w:r>
      <w:r w:rsidR="0068052D">
        <w:t xml:space="preserve">low side </w:t>
      </w:r>
      <w:r>
        <w:t>switch input signal. This switch allows the user control to manual disconnect or reconnect the system loads at the user’s discretion. Simply push and release the pushbutton and the HD Battery Guard</w:t>
      </w:r>
      <w:r>
        <w:rPr>
          <w:rFonts w:cstheme="minorHAnsi"/>
        </w:rPr>
        <w:t>®</w:t>
      </w:r>
      <w:r>
        <w:t xml:space="preserve"> 1000 will switch states. Keep in mind, the device has a built-in state change delay of 5 seconds to prevent constant cycling of the disconnect.</w:t>
      </w:r>
    </w:p>
    <w:p w14:paraId="1C85556B" w14:textId="77777777" w:rsidR="00864269" w:rsidRDefault="00864269" w:rsidP="00864269">
      <w:pPr>
        <w:widowControl w:val="0"/>
        <w:spacing w:after="0" w:line="240" w:lineRule="auto"/>
        <w:ind w:left="720"/>
      </w:pPr>
    </w:p>
    <w:p w14:paraId="422AAE81" w14:textId="7E51CF93" w:rsidR="00864269" w:rsidRPr="00A24DA3" w:rsidRDefault="00864269" w:rsidP="00864269">
      <w:pPr>
        <w:widowControl w:val="0"/>
        <w:spacing w:after="0" w:line="240" w:lineRule="auto"/>
        <w:ind w:left="720"/>
        <w:rPr>
          <w:rFonts w:cstheme="minorHAnsi"/>
          <w:i/>
          <w:iCs/>
          <w:sz w:val="20"/>
          <w:szCs w:val="20"/>
        </w:rPr>
      </w:pPr>
      <w:r w:rsidRPr="00A24DA3">
        <w:rPr>
          <w:i/>
          <w:iCs/>
          <w:sz w:val="20"/>
          <w:szCs w:val="20"/>
        </w:rPr>
        <w:t>Note: If the user chooses to disconnect the system manual</w:t>
      </w:r>
      <w:r>
        <w:rPr>
          <w:i/>
          <w:iCs/>
          <w:sz w:val="20"/>
          <w:szCs w:val="20"/>
        </w:rPr>
        <w:t>ly</w:t>
      </w:r>
      <w:r w:rsidRPr="00A24DA3">
        <w:rPr>
          <w:i/>
          <w:iCs/>
          <w:sz w:val="20"/>
          <w:szCs w:val="20"/>
        </w:rPr>
        <w:t xml:space="preserve">, the </w:t>
      </w:r>
      <w:r>
        <w:rPr>
          <w:i/>
          <w:iCs/>
          <w:sz w:val="20"/>
          <w:szCs w:val="20"/>
        </w:rPr>
        <w:t xml:space="preserve">HD </w:t>
      </w:r>
      <w:r w:rsidRPr="00A24DA3">
        <w:rPr>
          <w:i/>
          <w:iCs/>
          <w:sz w:val="20"/>
          <w:szCs w:val="20"/>
        </w:rPr>
        <w:t>Battery Guard</w:t>
      </w:r>
      <w:r w:rsidRPr="00A24DA3">
        <w:rPr>
          <w:rFonts w:cstheme="minorHAnsi"/>
          <w:i/>
          <w:iCs/>
          <w:sz w:val="20"/>
          <w:szCs w:val="20"/>
        </w:rPr>
        <w:t>®</w:t>
      </w:r>
      <w:r w:rsidRPr="00A24DA3">
        <w:rPr>
          <w:i/>
          <w:iCs/>
          <w:sz w:val="20"/>
          <w:szCs w:val="20"/>
        </w:rPr>
        <w:t xml:space="preserve"> 1000 will not automatically reconnect if it senses charging.</w:t>
      </w:r>
    </w:p>
    <w:p w14:paraId="7A757363" w14:textId="77777777" w:rsidR="00864269" w:rsidRDefault="00864269" w:rsidP="00864269">
      <w:pPr>
        <w:widowControl w:val="0"/>
        <w:spacing w:after="0" w:line="240" w:lineRule="auto"/>
        <w:ind w:left="720"/>
        <w:rPr>
          <w:rFonts w:cstheme="minorHAnsi"/>
        </w:rPr>
      </w:pPr>
    </w:p>
    <w:p w14:paraId="06D885B8" w14:textId="77777777" w:rsidR="00864269" w:rsidRPr="00A24DA3" w:rsidRDefault="00864269" w:rsidP="00864269">
      <w:pPr>
        <w:widowControl w:val="0"/>
        <w:spacing w:after="0" w:line="240" w:lineRule="auto"/>
        <w:ind w:left="720"/>
        <w:rPr>
          <w:rFonts w:cstheme="minorHAnsi"/>
          <w:b/>
          <w:bCs/>
          <w:u w:val="single"/>
        </w:rPr>
      </w:pPr>
      <w:r w:rsidRPr="00A24DA3">
        <w:rPr>
          <w:rFonts w:cstheme="minorHAnsi"/>
          <w:b/>
          <w:bCs/>
          <w:u w:val="single"/>
        </w:rPr>
        <w:t>Alarm indication</w:t>
      </w:r>
    </w:p>
    <w:p w14:paraId="3B8E94EC" w14:textId="77777777" w:rsidR="00864269" w:rsidRDefault="00864269" w:rsidP="00864269">
      <w:pPr>
        <w:widowControl w:val="0"/>
        <w:spacing w:after="0" w:line="240" w:lineRule="auto"/>
        <w:ind w:left="720"/>
        <w:rPr>
          <w:rFonts w:cstheme="minorHAnsi"/>
        </w:rPr>
      </w:pPr>
    </w:p>
    <w:p w14:paraId="67F3FA99" w14:textId="77777777" w:rsidR="00864269" w:rsidRDefault="00864269" w:rsidP="00864269">
      <w:pPr>
        <w:widowControl w:val="0"/>
        <w:spacing w:after="0" w:line="240" w:lineRule="auto"/>
        <w:ind w:left="720"/>
        <w:rPr>
          <w:rFonts w:cstheme="minorHAnsi"/>
        </w:rPr>
      </w:pPr>
      <w:r>
        <w:rPr>
          <w:rFonts w:cstheme="minorHAnsi"/>
        </w:rPr>
        <w:t xml:space="preserve">An alarm output is used to provide the user with valuable information about the state of the disconnect. This is a high side output alarm that is limited to 300 mA. When used with Intellitec’s Battery Guard Switch (11-01085-001), this output is tied to an LED indicator. </w:t>
      </w:r>
    </w:p>
    <w:p w14:paraId="15E1A9C2" w14:textId="77777777" w:rsidR="00864269" w:rsidRDefault="00864269" w:rsidP="00864269">
      <w:pPr>
        <w:widowControl w:val="0"/>
        <w:spacing w:after="0" w:line="240" w:lineRule="auto"/>
        <w:ind w:left="720"/>
        <w:rPr>
          <w:rFonts w:cstheme="minorHAnsi"/>
        </w:rPr>
      </w:pPr>
    </w:p>
    <w:p w14:paraId="0D3A39B7" w14:textId="77777777" w:rsidR="00864269" w:rsidRDefault="00864269" w:rsidP="00864269">
      <w:pPr>
        <w:widowControl w:val="0"/>
        <w:spacing w:after="0" w:line="240" w:lineRule="auto"/>
        <w:ind w:left="1440" w:hanging="720"/>
        <w:rPr>
          <w:rFonts w:cstheme="minorHAnsi"/>
        </w:rPr>
      </w:pPr>
      <w:r>
        <w:rPr>
          <w:rFonts w:cstheme="minorHAnsi"/>
        </w:rPr>
        <w:t>Solid On – Indicates that the system loads are connected, and the battery voltage is above the low voltage threshold.</w:t>
      </w:r>
    </w:p>
    <w:p w14:paraId="0DC4EAD7" w14:textId="77777777" w:rsidR="00864269" w:rsidRDefault="00864269" w:rsidP="00864269">
      <w:pPr>
        <w:widowControl w:val="0"/>
        <w:spacing w:after="0" w:line="240" w:lineRule="auto"/>
        <w:ind w:left="1440" w:hanging="720"/>
        <w:rPr>
          <w:rFonts w:cstheme="minorHAnsi"/>
        </w:rPr>
      </w:pPr>
    </w:p>
    <w:p w14:paraId="5671E6E9" w14:textId="77777777" w:rsidR="00864269" w:rsidRDefault="00864269" w:rsidP="00864269">
      <w:pPr>
        <w:widowControl w:val="0"/>
        <w:spacing w:after="0" w:line="240" w:lineRule="auto"/>
        <w:ind w:left="1440" w:hanging="720"/>
        <w:rPr>
          <w:rFonts w:cstheme="minorHAnsi"/>
        </w:rPr>
      </w:pPr>
      <w:r>
        <w:rPr>
          <w:rFonts w:cstheme="minorHAnsi"/>
        </w:rPr>
        <w:t>Flashing at ½ Hz – Indicates that the system loads are connected, and the battery voltage is below the low voltage threshold.</w:t>
      </w:r>
    </w:p>
    <w:p w14:paraId="6AB46A4F" w14:textId="77777777" w:rsidR="00864269" w:rsidRDefault="00864269" w:rsidP="00864269">
      <w:pPr>
        <w:widowControl w:val="0"/>
        <w:spacing w:after="0" w:line="240" w:lineRule="auto"/>
        <w:ind w:left="1440" w:hanging="720"/>
        <w:rPr>
          <w:rFonts w:cstheme="minorHAnsi"/>
        </w:rPr>
      </w:pPr>
    </w:p>
    <w:p w14:paraId="265F4798" w14:textId="77777777" w:rsidR="00864269" w:rsidRDefault="00864269" w:rsidP="00864269">
      <w:pPr>
        <w:widowControl w:val="0"/>
        <w:spacing w:after="0" w:line="240" w:lineRule="auto"/>
        <w:ind w:left="1440" w:hanging="720"/>
        <w:rPr>
          <w:rFonts w:cstheme="minorHAnsi"/>
        </w:rPr>
      </w:pPr>
      <w:r>
        <w:rPr>
          <w:rFonts w:cstheme="minorHAnsi"/>
        </w:rPr>
        <w:t>Solid Off – Indicates that the system loads are disconnected.</w:t>
      </w:r>
    </w:p>
    <w:p w14:paraId="23EA0A4B" w14:textId="77777777" w:rsidR="004B55C3" w:rsidRDefault="004B55C3" w:rsidP="00864269">
      <w:pPr>
        <w:widowControl w:val="0"/>
        <w:spacing w:after="0" w:line="240" w:lineRule="auto"/>
        <w:ind w:left="1440" w:hanging="720"/>
        <w:rPr>
          <w:rFonts w:cstheme="minorHAnsi"/>
        </w:rPr>
      </w:pPr>
    </w:p>
    <w:p w14:paraId="75CD8036" w14:textId="77777777" w:rsidR="004B55C3" w:rsidRDefault="004B55C3" w:rsidP="00864269">
      <w:pPr>
        <w:widowControl w:val="0"/>
        <w:spacing w:after="0" w:line="240" w:lineRule="auto"/>
        <w:ind w:left="1440" w:hanging="720"/>
        <w:rPr>
          <w:rFonts w:cstheme="minorHAnsi"/>
        </w:rPr>
      </w:pPr>
    </w:p>
    <w:p w14:paraId="494A02C3" w14:textId="77777777" w:rsidR="004B55C3" w:rsidRDefault="004B55C3" w:rsidP="00864269">
      <w:pPr>
        <w:widowControl w:val="0"/>
        <w:spacing w:after="0" w:line="240" w:lineRule="auto"/>
        <w:ind w:left="1440" w:hanging="720"/>
        <w:rPr>
          <w:rFonts w:cstheme="minorHAnsi"/>
        </w:rPr>
      </w:pPr>
    </w:p>
    <w:p w14:paraId="37F92BD4" w14:textId="0919379B" w:rsidR="004B55C3" w:rsidRPr="00A24DA3" w:rsidRDefault="004B55C3" w:rsidP="004B55C3">
      <w:pPr>
        <w:widowControl w:val="0"/>
        <w:spacing w:after="0" w:line="240" w:lineRule="auto"/>
        <w:ind w:left="720"/>
        <w:rPr>
          <w:rFonts w:cstheme="minorHAnsi"/>
          <w:b/>
          <w:bCs/>
          <w:u w:val="single"/>
        </w:rPr>
      </w:pPr>
      <w:r>
        <w:rPr>
          <w:rFonts w:cstheme="minorHAnsi"/>
          <w:b/>
          <w:bCs/>
          <w:u w:val="single"/>
        </w:rPr>
        <w:t>Inhibit Input Signal</w:t>
      </w:r>
    </w:p>
    <w:p w14:paraId="659F9626" w14:textId="77777777" w:rsidR="004B55C3" w:rsidRDefault="004B55C3" w:rsidP="00864269">
      <w:pPr>
        <w:widowControl w:val="0"/>
        <w:spacing w:after="0" w:line="240" w:lineRule="auto"/>
        <w:ind w:left="1440" w:hanging="720"/>
        <w:rPr>
          <w:rFonts w:cstheme="minorHAnsi"/>
        </w:rPr>
      </w:pPr>
    </w:p>
    <w:p w14:paraId="304A6577" w14:textId="66DE84CE" w:rsidR="00864269" w:rsidRPr="004B55C3" w:rsidRDefault="004B55C3" w:rsidP="004B55C3">
      <w:pPr>
        <w:widowControl w:val="0"/>
        <w:spacing w:after="0" w:line="240" w:lineRule="auto"/>
        <w:ind w:left="720"/>
      </w:pPr>
      <w:r>
        <w:t xml:space="preserve">The inhibit input signal is a positive (Battery Voltage) signal that prevents the </w:t>
      </w:r>
      <w:r>
        <w:rPr>
          <w:rFonts w:cstheme="minorHAnsi"/>
        </w:rPr>
        <w:t xml:space="preserve">HD </w:t>
      </w:r>
      <w:r>
        <w:t>Battery Guard</w:t>
      </w:r>
      <w:r>
        <w:rPr>
          <w:rFonts w:cstheme="minorHAnsi"/>
        </w:rPr>
        <w:t>®</w:t>
      </w:r>
      <w:r>
        <w:t xml:space="preserve"> 1000</w:t>
      </w:r>
      <w:r>
        <w:t xml:space="preserve"> from performing an automatic disconnect when in the connected state. This signal does not prevent manual disconnects from occurring and will allow the </w:t>
      </w:r>
      <w:r>
        <w:rPr>
          <w:rFonts w:cstheme="minorHAnsi"/>
        </w:rPr>
        <w:t xml:space="preserve">HD </w:t>
      </w:r>
      <w:r>
        <w:t>Battery Guard</w:t>
      </w:r>
      <w:r>
        <w:rPr>
          <w:rFonts w:cstheme="minorHAnsi"/>
        </w:rPr>
        <w:t>®</w:t>
      </w:r>
      <w:r>
        <w:t xml:space="preserve"> 1000</w:t>
      </w:r>
      <w:r>
        <w:t xml:space="preserve"> to reconnect when a charging voltage is present.</w:t>
      </w:r>
    </w:p>
    <w:p w14:paraId="34071146" w14:textId="77777777" w:rsidR="00864269" w:rsidRDefault="00864269" w:rsidP="00864269">
      <w:pPr>
        <w:widowControl w:val="0"/>
        <w:spacing w:after="0" w:line="240" w:lineRule="auto"/>
        <w:rPr>
          <w:rFonts w:cstheme="minorHAnsi"/>
        </w:rPr>
      </w:pPr>
    </w:p>
    <w:p w14:paraId="1A4D63A7" w14:textId="77777777" w:rsidR="00864269" w:rsidRPr="00A24DA3" w:rsidRDefault="00864269" w:rsidP="00864269">
      <w:pPr>
        <w:widowControl w:val="0"/>
        <w:spacing w:after="0" w:line="240" w:lineRule="auto"/>
        <w:ind w:left="720"/>
        <w:rPr>
          <w:rFonts w:cstheme="minorHAnsi"/>
          <w:b/>
          <w:bCs/>
          <w:u w:val="single"/>
        </w:rPr>
      </w:pPr>
      <w:r w:rsidRPr="00A24DA3">
        <w:rPr>
          <w:rFonts w:cstheme="minorHAnsi"/>
          <w:b/>
          <w:bCs/>
          <w:u w:val="single"/>
        </w:rPr>
        <w:lastRenderedPageBreak/>
        <w:t>Diagnostics</w:t>
      </w:r>
    </w:p>
    <w:p w14:paraId="25F4B62A" w14:textId="77777777" w:rsidR="00864269" w:rsidRPr="0064006A" w:rsidRDefault="00864269" w:rsidP="00864269">
      <w:pPr>
        <w:widowControl w:val="0"/>
        <w:spacing w:after="0" w:line="240" w:lineRule="auto"/>
        <w:ind w:left="720"/>
        <w:rPr>
          <w:rFonts w:cstheme="minorHAnsi"/>
          <w:u w:val="single"/>
        </w:rPr>
      </w:pPr>
    </w:p>
    <w:p w14:paraId="37FD4173" w14:textId="28ECF6B3" w:rsidR="00864269" w:rsidRDefault="00864269" w:rsidP="00864269">
      <w:pPr>
        <w:widowControl w:val="0"/>
        <w:spacing w:after="0" w:line="240" w:lineRule="auto"/>
        <w:ind w:left="720"/>
      </w:pPr>
      <w:r>
        <w:rPr>
          <w:rFonts w:cstheme="minorHAnsi"/>
        </w:rPr>
        <w:t xml:space="preserve">If the HD </w:t>
      </w:r>
      <w:r>
        <w:t>Battery Guard</w:t>
      </w:r>
      <w:r>
        <w:rPr>
          <w:rFonts w:cstheme="minorHAnsi"/>
        </w:rPr>
        <w:t>®</w:t>
      </w:r>
      <w:r>
        <w:t xml:space="preserve"> 1000 fails to operate as intended, locate the device. The Battery Guard</w:t>
      </w:r>
      <w:r>
        <w:rPr>
          <w:rFonts w:cstheme="minorHAnsi"/>
        </w:rPr>
        <w:t>®</w:t>
      </w:r>
      <w:r>
        <w:t xml:space="preserve"> 1000 provides a diagnostic LED on the module that indicates several failure modes.</w:t>
      </w:r>
    </w:p>
    <w:p w14:paraId="71E4A2FD" w14:textId="77777777" w:rsidR="00864269" w:rsidRDefault="00864269" w:rsidP="001E4A19">
      <w:pPr>
        <w:widowControl w:val="0"/>
        <w:spacing w:after="0" w:line="240" w:lineRule="auto"/>
      </w:pPr>
    </w:p>
    <w:p w14:paraId="6B4DAF48" w14:textId="77777777" w:rsidR="00864269" w:rsidRDefault="00864269" w:rsidP="00864269">
      <w:pPr>
        <w:widowControl w:val="0"/>
        <w:spacing w:after="0" w:line="240" w:lineRule="auto"/>
        <w:ind w:left="720"/>
      </w:pPr>
      <w:r>
        <w:t>1 Blink – Failed to disconnect</w:t>
      </w:r>
    </w:p>
    <w:p w14:paraId="1E4A423D" w14:textId="77777777" w:rsidR="00864269" w:rsidRDefault="00864269" w:rsidP="00864269">
      <w:pPr>
        <w:widowControl w:val="0"/>
        <w:spacing w:after="0" w:line="240" w:lineRule="auto"/>
        <w:ind w:left="720"/>
      </w:pPr>
      <w:r>
        <w:t>2 Blinks – Failed to reconnect</w:t>
      </w:r>
    </w:p>
    <w:p w14:paraId="21DBD2FD" w14:textId="77777777" w:rsidR="00864269" w:rsidRDefault="00864269" w:rsidP="00864269">
      <w:pPr>
        <w:widowControl w:val="0"/>
        <w:spacing w:after="0" w:line="240" w:lineRule="auto"/>
        <w:ind w:left="720"/>
      </w:pPr>
      <w:r>
        <w:t>3 Blinks – Below minimum disconnect voltage.</w:t>
      </w:r>
    </w:p>
    <w:p w14:paraId="0939E990" w14:textId="77777777" w:rsidR="00864269" w:rsidRDefault="00864269" w:rsidP="00864269">
      <w:pPr>
        <w:widowControl w:val="0"/>
        <w:spacing w:after="0" w:line="240" w:lineRule="auto"/>
        <w:ind w:left="720"/>
      </w:pPr>
    </w:p>
    <w:p w14:paraId="0DC1EEE4" w14:textId="33984E8C" w:rsidR="00864269" w:rsidRDefault="00864269" w:rsidP="00864269">
      <w:pPr>
        <w:widowControl w:val="0"/>
        <w:spacing w:after="0" w:line="240" w:lineRule="auto"/>
        <w:ind w:left="720"/>
      </w:pPr>
      <w:r>
        <w:t>This information can be very useful when trying to troubleshoot the HD Battery Guard</w:t>
      </w:r>
      <w:r>
        <w:rPr>
          <w:rFonts w:cstheme="minorHAnsi"/>
        </w:rPr>
        <w:t>®</w:t>
      </w:r>
      <w:r>
        <w:t xml:space="preserve"> 1000. </w:t>
      </w:r>
      <w:proofErr w:type="gramStart"/>
      <w:r>
        <w:t>In the event that</w:t>
      </w:r>
      <w:proofErr w:type="gramEnd"/>
      <w:r>
        <w:t xml:space="preserve"> there is an issue, and the operator needs to bypass the disconnect. Remove the System load wire from the HD Battery Guard 1000 terminal and move it to the same side as the positive battery feed.</w:t>
      </w:r>
    </w:p>
    <w:p w14:paraId="63F64F6F" w14:textId="77777777" w:rsidR="00864269" w:rsidRDefault="00864269" w:rsidP="00864269">
      <w:pPr>
        <w:widowControl w:val="0"/>
        <w:spacing w:after="0" w:line="240" w:lineRule="auto"/>
        <w:ind w:left="720"/>
      </w:pPr>
    </w:p>
    <w:p w14:paraId="7B522E69" w14:textId="77777777" w:rsidR="00864269" w:rsidRPr="00A24DA3" w:rsidRDefault="00864269" w:rsidP="00864269">
      <w:pPr>
        <w:widowControl w:val="0"/>
        <w:ind w:left="720" w:right="720"/>
        <w:rPr>
          <w:i/>
          <w:iCs/>
          <w:sz w:val="20"/>
          <w:szCs w:val="20"/>
        </w:rPr>
      </w:pPr>
      <w:r w:rsidRPr="00A24DA3">
        <w:rPr>
          <w:i/>
          <w:iCs/>
          <w:sz w:val="20"/>
          <w:szCs w:val="20"/>
        </w:rPr>
        <w:t>WARNING: Before performing this task, disconnect all sources of power. Unplug the coach and turn off the generator. Disconnect the battery(s) negative (-) terminal.</w:t>
      </w:r>
    </w:p>
    <w:p w14:paraId="1ACB713A" w14:textId="77777777" w:rsidR="00864269" w:rsidRPr="00A24DA3" w:rsidRDefault="00864269" w:rsidP="00864269">
      <w:pPr>
        <w:widowControl w:val="0"/>
        <w:spacing w:after="0" w:line="240" w:lineRule="auto"/>
        <w:ind w:left="720"/>
        <w:rPr>
          <w:b/>
          <w:bCs/>
          <w:u w:val="single"/>
        </w:rPr>
      </w:pPr>
      <w:r w:rsidRPr="00A24DA3">
        <w:rPr>
          <w:b/>
          <w:bCs/>
          <w:u w:val="single"/>
        </w:rPr>
        <w:t xml:space="preserve"> Operating Parameters</w:t>
      </w:r>
    </w:p>
    <w:p w14:paraId="09C373F3" w14:textId="77777777" w:rsidR="00864269" w:rsidRDefault="00864269" w:rsidP="00864269">
      <w:pPr>
        <w:widowControl w:val="0"/>
        <w:spacing w:after="0" w:line="240" w:lineRule="auto"/>
      </w:pPr>
    </w:p>
    <w:p w14:paraId="2A43D565" w14:textId="5A59221F" w:rsidR="00864269" w:rsidRDefault="00864269" w:rsidP="00864269">
      <w:pPr>
        <w:widowControl w:val="0"/>
        <w:spacing w:after="0" w:line="240" w:lineRule="auto"/>
        <w:ind w:left="720"/>
      </w:pPr>
      <w:r>
        <w:t>The table below defines the operating parameters used by the HD Battery Guard</w:t>
      </w:r>
      <w:r>
        <w:rPr>
          <w:rFonts w:cstheme="minorHAnsi"/>
        </w:rPr>
        <w:t>®</w:t>
      </w:r>
      <w:r>
        <w:t xml:space="preserve"> 1000. The device comes with two sets of preconfigured parameters, one for chassis disconnects and one for coach disconnects. Depending on what mode the device is in, the parameters may vary.</w:t>
      </w:r>
    </w:p>
    <w:p w14:paraId="075E4C4D" w14:textId="77777777" w:rsidR="00864269" w:rsidRDefault="00864269" w:rsidP="00864269">
      <w:pPr>
        <w:widowControl w:val="0"/>
        <w:spacing w:after="0" w:line="240" w:lineRule="auto"/>
        <w:ind w:left="720"/>
      </w:pPr>
    </w:p>
    <w:p w14:paraId="47A1D9D3" w14:textId="130CE1CD" w:rsidR="00864269" w:rsidRPr="00653AA3" w:rsidRDefault="00864269" w:rsidP="00864269">
      <w:pPr>
        <w:widowControl w:val="0"/>
        <w:spacing w:after="0" w:line="240" w:lineRule="auto"/>
        <w:ind w:left="720"/>
        <w:rPr>
          <w:rFonts w:cstheme="minorHAnsi"/>
          <w:u w:val="single"/>
        </w:rPr>
      </w:pPr>
      <w:bookmarkStart w:id="0" w:name="_Hlk92190419"/>
      <w:r w:rsidRPr="00E414C0">
        <w:rPr>
          <w:highlight w:val="yellow"/>
        </w:rPr>
        <w:t xml:space="preserve">ATTENTION: </w:t>
      </w:r>
      <w:proofErr w:type="spellStart"/>
      <w:r>
        <w:rPr>
          <w:highlight w:val="yellow"/>
        </w:rPr>
        <w:t>Intellitec</w:t>
      </w:r>
      <w:proofErr w:type="spellEnd"/>
      <w:r>
        <w:rPr>
          <w:highlight w:val="yellow"/>
        </w:rPr>
        <w:t xml:space="preserve"> p</w:t>
      </w:r>
      <w:r w:rsidRPr="00E414C0">
        <w:rPr>
          <w:highlight w:val="yellow"/>
        </w:rPr>
        <w:t xml:space="preserve">art number </w:t>
      </w:r>
      <w:r>
        <w:rPr>
          <w:highlight w:val="yellow"/>
        </w:rPr>
        <w:t>00</w:t>
      </w:r>
      <w:r w:rsidRPr="00E414C0">
        <w:rPr>
          <w:highlight w:val="yellow"/>
        </w:rPr>
        <w:t>-011</w:t>
      </w:r>
      <w:r>
        <w:rPr>
          <w:highlight w:val="yellow"/>
        </w:rPr>
        <w:t>45</w:t>
      </w:r>
      <w:r w:rsidRPr="00E414C0">
        <w:rPr>
          <w:highlight w:val="yellow"/>
        </w:rPr>
        <w:t>-</w:t>
      </w:r>
      <w:r w:rsidRPr="00941BCD">
        <w:rPr>
          <w:b/>
          <w:bCs/>
          <w:highlight w:val="yellow"/>
        </w:rPr>
        <w:t xml:space="preserve">000 </w:t>
      </w:r>
      <w:r w:rsidRPr="00E414C0">
        <w:rPr>
          <w:highlight w:val="yellow"/>
        </w:rPr>
        <w:t xml:space="preserve">is configured to the default </w:t>
      </w:r>
      <w:r>
        <w:rPr>
          <w:highlight w:val="yellow"/>
        </w:rPr>
        <w:t>parameters</w:t>
      </w:r>
      <w:r w:rsidRPr="00E414C0">
        <w:rPr>
          <w:highlight w:val="yellow"/>
        </w:rPr>
        <w:t xml:space="preserve"> </w:t>
      </w:r>
      <w:r>
        <w:rPr>
          <w:highlight w:val="yellow"/>
        </w:rPr>
        <w:t xml:space="preserve">listed in the table </w:t>
      </w:r>
      <w:r w:rsidRPr="00E414C0">
        <w:rPr>
          <w:highlight w:val="yellow"/>
        </w:rPr>
        <w:t xml:space="preserve">below. Custom configurations </w:t>
      </w:r>
      <w:r>
        <w:rPr>
          <w:highlight w:val="yellow"/>
        </w:rPr>
        <w:t>recorded</w:t>
      </w:r>
      <w:r w:rsidRPr="00E414C0">
        <w:rPr>
          <w:highlight w:val="yellow"/>
        </w:rPr>
        <w:t xml:space="preserve"> as </w:t>
      </w:r>
      <w:r>
        <w:rPr>
          <w:highlight w:val="yellow"/>
        </w:rPr>
        <w:t>00</w:t>
      </w:r>
      <w:r w:rsidRPr="00E414C0">
        <w:rPr>
          <w:highlight w:val="yellow"/>
        </w:rPr>
        <w:t>-011</w:t>
      </w:r>
      <w:r>
        <w:rPr>
          <w:highlight w:val="yellow"/>
        </w:rPr>
        <w:t>45</w:t>
      </w:r>
      <w:r w:rsidRPr="00E414C0">
        <w:rPr>
          <w:highlight w:val="yellow"/>
        </w:rPr>
        <w:t>-</w:t>
      </w:r>
      <w:r w:rsidRPr="00E414C0">
        <w:rPr>
          <w:b/>
          <w:bCs/>
          <w:highlight w:val="yellow"/>
        </w:rPr>
        <w:t>XXX</w:t>
      </w:r>
      <w:r>
        <w:rPr>
          <w:b/>
          <w:bCs/>
          <w:highlight w:val="yellow"/>
        </w:rPr>
        <w:t xml:space="preserve"> </w:t>
      </w:r>
      <w:r w:rsidRPr="00E414C0">
        <w:rPr>
          <w:highlight w:val="yellow"/>
        </w:rPr>
        <w:t xml:space="preserve">are configured to the </w:t>
      </w:r>
      <w:r>
        <w:rPr>
          <w:highlight w:val="yellow"/>
        </w:rPr>
        <w:t xml:space="preserve">customer’s </w:t>
      </w:r>
      <w:r w:rsidRPr="00AF5668">
        <w:rPr>
          <w:highlight w:val="yellow"/>
        </w:rPr>
        <w:t>parameters.</w:t>
      </w:r>
    </w:p>
    <w:bookmarkEnd w:id="0"/>
    <w:p w14:paraId="272E41CE" w14:textId="77777777" w:rsidR="00864269" w:rsidRDefault="00864269" w:rsidP="00864269">
      <w:pPr>
        <w:widowControl w:val="0"/>
        <w:spacing w:after="0" w:line="240" w:lineRule="auto"/>
        <w:ind w:left="720"/>
      </w:pPr>
    </w:p>
    <w:tbl>
      <w:tblPr>
        <w:tblStyle w:val="TableGrid"/>
        <w:tblW w:w="0" w:type="auto"/>
        <w:jc w:val="center"/>
        <w:tblLook w:val="04A0" w:firstRow="1" w:lastRow="0" w:firstColumn="1" w:lastColumn="0" w:noHBand="0" w:noVBand="1"/>
      </w:tblPr>
      <w:tblGrid>
        <w:gridCol w:w="3448"/>
        <w:gridCol w:w="2240"/>
        <w:gridCol w:w="2250"/>
      </w:tblGrid>
      <w:tr w:rsidR="00864269" w14:paraId="730C0700" w14:textId="77777777" w:rsidTr="003C197C">
        <w:trPr>
          <w:jc w:val="center"/>
        </w:trPr>
        <w:tc>
          <w:tcPr>
            <w:tcW w:w="3448" w:type="dxa"/>
          </w:tcPr>
          <w:p w14:paraId="349F409F" w14:textId="77777777" w:rsidR="00864269" w:rsidRPr="00495AB0" w:rsidRDefault="00864269" w:rsidP="00864269">
            <w:pPr>
              <w:widowControl w:val="0"/>
              <w:spacing w:after="0"/>
              <w:rPr>
                <w:b/>
                <w:bCs/>
              </w:rPr>
            </w:pPr>
            <w:r w:rsidRPr="00495AB0">
              <w:rPr>
                <w:b/>
                <w:bCs/>
              </w:rPr>
              <w:t>Parameter</w:t>
            </w:r>
          </w:p>
        </w:tc>
        <w:tc>
          <w:tcPr>
            <w:tcW w:w="2240" w:type="dxa"/>
          </w:tcPr>
          <w:p w14:paraId="5C7EE3DC" w14:textId="77777777" w:rsidR="00864269" w:rsidRPr="00495AB0" w:rsidRDefault="00864269" w:rsidP="00864269">
            <w:pPr>
              <w:widowControl w:val="0"/>
              <w:spacing w:after="0"/>
              <w:jc w:val="center"/>
              <w:rPr>
                <w:b/>
                <w:bCs/>
              </w:rPr>
            </w:pPr>
            <w:r w:rsidRPr="00495AB0">
              <w:rPr>
                <w:b/>
                <w:bCs/>
              </w:rPr>
              <w:t xml:space="preserve">Chassis </w:t>
            </w:r>
            <w:r>
              <w:rPr>
                <w:b/>
                <w:bCs/>
              </w:rPr>
              <w:t>Battery</w:t>
            </w:r>
          </w:p>
        </w:tc>
        <w:tc>
          <w:tcPr>
            <w:tcW w:w="2250" w:type="dxa"/>
          </w:tcPr>
          <w:p w14:paraId="0AF84F6F" w14:textId="77777777" w:rsidR="00864269" w:rsidRPr="00495AB0" w:rsidRDefault="00864269" w:rsidP="00864269">
            <w:pPr>
              <w:widowControl w:val="0"/>
              <w:spacing w:after="0"/>
              <w:jc w:val="center"/>
              <w:rPr>
                <w:b/>
                <w:bCs/>
              </w:rPr>
            </w:pPr>
            <w:r w:rsidRPr="00495AB0">
              <w:rPr>
                <w:b/>
                <w:bCs/>
              </w:rPr>
              <w:t xml:space="preserve">Coach </w:t>
            </w:r>
            <w:r>
              <w:rPr>
                <w:b/>
                <w:bCs/>
              </w:rPr>
              <w:t>Battery</w:t>
            </w:r>
          </w:p>
        </w:tc>
      </w:tr>
      <w:tr w:rsidR="00864269" w14:paraId="5A4A9BFC" w14:textId="77777777" w:rsidTr="003C197C">
        <w:trPr>
          <w:jc w:val="center"/>
        </w:trPr>
        <w:tc>
          <w:tcPr>
            <w:tcW w:w="3448" w:type="dxa"/>
          </w:tcPr>
          <w:p w14:paraId="2F757540" w14:textId="77777777" w:rsidR="00864269" w:rsidRDefault="00864269" w:rsidP="00864269">
            <w:pPr>
              <w:widowControl w:val="0"/>
              <w:spacing w:after="0"/>
            </w:pPr>
            <w:r>
              <w:t>Low Voltage Disconnect Threshold</w:t>
            </w:r>
          </w:p>
        </w:tc>
        <w:tc>
          <w:tcPr>
            <w:tcW w:w="2240" w:type="dxa"/>
          </w:tcPr>
          <w:p w14:paraId="481FE19B" w14:textId="77777777" w:rsidR="00864269" w:rsidRDefault="00864269" w:rsidP="00864269">
            <w:pPr>
              <w:widowControl w:val="0"/>
              <w:spacing w:after="0"/>
              <w:jc w:val="center"/>
            </w:pPr>
            <w:r>
              <w:t>12.1 Volts</w:t>
            </w:r>
          </w:p>
        </w:tc>
        <w:tc>
          <w:tcPr>
            <w:tcW w:w="2250" w:type="dxa"/>
          </w:tcPr>
          <w:p w14:paraId="0A1ECA7C" w14:textId="77777777" w:rsidR="00864269" w:rsidRDefault="00864269" w:rsidP="00864269">
            <w:pPr>
              <w:widowControl w:val="0"/>
              <w:spacing w:after="0"/>
              <w:jc w:val="center"/>
            </w:pPr>
            <w:r>
              <w:t>10.5 Volts</w:t>
            </w:r>
          </w:p>
        </w:tc>
      </w:tr>
      <w:tr w:rsidR="00864269" w14:paraId="7FC51A61" w14:textId="77777777" w:rsidTr="003C197C">
        <w:trPr>
          <w:jc w:val="center"/>
        </w:trPr>
        <w:tc>
          <w:tcPr>
            <w:tcW w:w="3448" w:type="dxa"/>
          </w:tcPr>
          <w:p w14:paraId="7B4F0170" w14:textId="77777777" w:rsidR="00864269" w:rsidRDefault="00864269" w:rsidP="00864269">
            <w:pPr>
              <w:widowControl w:val="0"/>
              <w:spacing w:after="0"/>
            </w:pPr>
            <w:r>
              <w:t>Isolation Delay</w:t>
            </w:r>
          </w:p>
        </w:tc>
        <w:tc>
          <w:tcPr>
            <w:tcW w:w="2240" w:type="dxa"/>
          </w:tcPr>
          <w:p w14:paraId="20F71F4C" w14:textId="77777777" w:rsidR="00864269" w:rsidRDefault="00864269" w:rsidP="00864269">
            <w:pPr>
              <w:widowControl w:val="0"/>
              <w:spacing w:after="0"/>
              <w:jc w:val="center"/>
            </w:pPr>
            <w:r>
              <w:t>5 Minutes</w:t>
            </w:r>
          </w:p>
        </w:tc>
        <w:tc>
          <w:tcPr>
            <w:tcW w:w="2250" w:type="dxa"/>
          </w:tcPr>
          <w:p w14:paraId="437878F5" w14:textId="77777777" w:rsidR="00864269" w:rsidRDefault="00864269" w:rsidP="00864269">
            <w:pPr>
              <w:widowControl w:val="0"/>
              <w:spacing w:after="0"/>
              <w:jc w:val="center"/>
            </w:pPr>
            <w:r>
              <w:t>3 Minutes</w:t>
            </w:r>
          </w:p>
        </w:tc>
      </w:tr>
      <w:tr w:rsidR="00864269" w14:paraId="2A72308F" w14:textId="77777777" w:rsidTr="003C197C">
        <w:trPr>
          <w:jc w:val="center"/>
        </w:trPr>
        <w:tc>
          <w:tcPr>
            <w:tcW w:w="3448" w:type="dxa"/>
          </w:tcPr>
          <w:p w14:paraId="4791F11A" w14:textId="77777777" w:rsidR="00864269" w:rsidRDefault="00864269" w:rsidP="00864269">
            <w:pPr>
              <w:widowControl w:val="0"/>
              <w:spacing w:after="0"/>
            </w:pPr>
            <w:r>
              <w:t>Minimum Disconnect Threshold</w:t>
            </w:r>
          </w:p>
        </w:tc>
        <w:tc>
          <w:tcPr>
            <w:tcW w:w="4490" w:type="dxa"/>
            <w:gridSpan w:val="2"/>
          </w:tcPr>
          <w:p w14:paraId="44DB41A5" w14:textId="77777777" w:rsidR="00864269" w:rsidRDefault="00864269" w:rsidP="00864269">
            <w:pPr>
              <w:widowControl w:val="0"/>
              <w:spacing w:after="0"/>
              <w:jc w:val="center"/>
            </w:pPr>
            <w:r>
              <w:t>9.0 Volts</w:t>
            </w:r>
          </w:p>
        </w:tc>
      </w:tr>
      <w:tr w:rsidR="00864269" w14:paraId="6B777F0C" w14:textId="77777777" w:rsidTr="003C197C">
        <w:trPr>
          <w:jc w:val="center"/>
        </w:trPr>
        <w:tc>
          <w:tcPr>
            <w:tcW w:w="3448" w:type="dxa"/>
          </w:tcPr>
          <w:p w14:paraId="79BD9AB6" w14:textId="77777777" w:rsidR="00864269" w:rsidRDefault="00864269" w:rsidP="00864269">
            <w:pPr>
              <w:widowControl w:val="0"/>
              <w:spacing w:after="0"/>
            </w:pPr>
            <w:r>
              <w:t>Charging Voltage Threshold</w:t>
            </w:r>
          </w:p>
        </w:tc>
        <w:tc>
          <w:tcPr>
            <w:tcW w:w="4490" w:type="dxa"/>
            <w:gridSpan w:val="2"/>
          </w:tcPr>
          <w:p w14:paraId="79E5443B" w14:textId="77777777" w:rsidR="00864269" w:rsidRDefault="00864269" w:rsidP="00864269">
            <w:pPr>
              <w:widowControl w:val="0"/>
              <w:spacing w:after="0"/>
              <w:jc w:val="center"/>
            </w:pPr>
            <w:r>
              <w:t>13.3 Volts</w:t>
            </w:r>
          </w:p>
        </w:tc>
      </w:tr>
      <w:tr w:rsidR="00864269" w14:paraId="5427F57B" w14:textId="77777777" w:rsidTr="003C197C">
        <w:trPr>
          <w:jc w:val="center"/>
        </w:trPr>
        <w:tc>
          <w:tcPr>
            <w:tcW w:w="3448" w:type="dxa"/>
          </w:tcPr>
          <w:p w14:paraId="6251D3B0" w14:textId="77777777" w:rsidR="00864269" w:rsidRDefault="00864269" w:rsidP="00864269">
            <w:pPr>
              <w:widowControl w:val="0"/>
              <w:spacing w:after="0"/>
            </w:pPr>
            <w:r>
              <w:t>Reconnect Delay</w:t>
            </w:r>
          </w:p>
        </w:tc>
        <w:tc>
          <w:tcPr>
            <w:tcW w:w="4490" w:type="dxa"/>
            <w:gridSpan w:val="2"/>
          </w:tcPr>
          <w:p w14:paraId="7832E92A" w14:textId="77777777" w:rsidR="00864269" w:rsidRDefault="00864269" w:rsidP="00864269">
            <w:pPr>
              <w:widowControl w:val="0"/>
              <w:spacing w:after="0"/>
              <w:jc w:val="center"/>
            </w:pPr>
            <w:r>
              <w:t>1 Minute</w:t>
            </w:r>
          </w:p>
        </w:tc>
      </w:tr>
      <w:tr w:rsidR="00864269" w14:paraId="2198EF46" w14:textId="77777777" w:rsidTr="003C197C">
        <w:trPr>
          <w:jc w:val="center"/>
        </w:trPr>
        <w:tc>
          <w:tcPr>
            <w:tcW w:w="3448" w:type="dxa"/>
          </w:tcPr>
          <w:p w14:paraId="1C014807" w14:textId="77777777" w:rsidR="00864269" w:rsidRDefault="00864269" w:rsidP="00864269">
            <w:pPr>
              <w:widowControl w:val="0"/>
              <w:spacing w:after="0"/>
            </w:pPr>
            <w:r>
              <w:t>State Change Delay</w:t>
            </w:r>
          </w:p>
        </w:tc>
        <w:tc>
          <w:tcPr>
            <w:tcW w:w="4490" w:type="dxa"/>
            <w:gridSpan w:val="2"/>
          </w:tcPr>
          <w:p w14:paraId="7834EDEF" w14:textId="77777777" w:rsidR="00864269" w:rsidRDefault="00864269" w:rsidP="00864269">
            <w:pPr>
              <w:widowControl w:val="0"/>
              <w:spacing w:after="0"/>
              <w:jc w:val="center"/>
            </w:pPr>
            <w:r>
              <w:t>5 Seconds</w:t>
            </w:r>
          </w:p>
        </w:tc>
      </w:tr>
    </w:tbl>
    <w:p w14:paraId="01284B97" w14:textId="77777777" w:rsidR="00864269" w:rsidRDefault="00864269" w:rsidP="00864269">
      <w:pPr>
        <w:widowControl w:val="0"/>
        <w:spacing w:after="0" w:line="240" w:lineRule="auto"/>
      </w:pPr>
    </w:p>
    <w:p w14:paraId="49743607" w14:textId="672DAF1C" w:rsidR="005C260E" w:rsidRPr="00864269" w:rsidRDefault="00864269" w:rsidP="00864269">
      <w:pPr>
        <w:widowControl w:val="0"/>
        <w:spacing w:after="0" w:line="240" w:lineRule="auto"/>
        <w:ind w:left="720"/>
        <w:jc w:val="center"/>
      </w:pPr>
      <w:r>
        <w:t>Refer to the 53-01145-200 Installation Guide on how to switch between configurations.</w:t>
      </w:r>
    </w:p>
    <w:p w14:paraId="0EDB16DF" w14:textId="77777777" w:rsidR="001E4A19" w:rsidRDefault="001E4A19" w:rsidP="005C260E">
      <w:pPr>
        <w:widowControl w:val="0"/>
        <w:ind w:left="720"/>
        <w:rPr>
          <w:u w:val="single"/>
        </w:rPr>
      </w:pPr>
    </w:p>
    <w:p w14:paraId="76116D98" w14:textId="77777777" w:rsidR="001E4A19" w:rsidRDefault="001E4A19" w:rsidP="005C260E">
      <w:pPr>
        <w:widowControl w:val="0"/>
        <w:ind w:left="720"/>
        <w:rPr>
          <w:u w:val="single"/>
        </w:rPr>
      </w:pPr>
    </w:p>
    <w:p w14:paraId="0A499997" w14:textId="555697FB" w:rsidR="005C260E" w:rsidRPr="00E53D2F" w:rsidRDefault="005C260E" w:rsidP="005C260E">
      <w:pPr>
        <w:widowControl w:val="0"/>
        <w:ind w:left="720"/>
        <w:rPr>
          <w:u w:val="single"/>
        </w:rPr>
      </w:pPr>
      <w:r>
        <w:rPr>
          <w:u w:val="single"/>
        </w:rPr>
        <w:t>Available Product Literature and Guides:</w:t>
      </w:r>
    </w:p>
    <w:p w14:paraId="4495F0AD" w14:textId="466CD25C" w:rsidR="005C260E" w:rsidRDefault="005C260E" w:rsidP="005C260E">
      <w:pPr>
        <w:widowControl w:val="0"/>
        <w:ind w:left="907"/>
      </w:pPr>
      <w:r>
        <w:t>Brochure:</w:t>
      </w:r>
      <w:r>
        <w:tab/>
      </w:r>
      <w:r>
        <w:tab/>
      </w:r>
      <w:r>
        <w:tab/>
      </w:r>
      <w:r>
        <w:tab/>
        <w:t>53-011</w:t>
      </w:r>
      <w:r w:rsidR="00864269">
        <w:t>45</w:t>
      </w:r>
      <w:r>
        <w:t>-000</w:t>
      </w:r>
    </w:p>
    <w:p w14:paraId="473EE6E0" w14:textId="0444D106" w:rsidR="005C260E" w:rsidRDefault="005C260E" w:rsidP="005C260E">
      <w:pPr>
        <w:widowControl w:val="0"/>
        <w:ind w:left="907"/>
      </w:pPr>
      <w:r>
        <w:t>Product Specification:</w:t>
      </w:r>
      <w:r>
        <w:tab/>
      </w:r>
      <w:r>
        <w:tab/>
      </w:r>
      <w:r>
        <w:tab/>
        <w:t>53-011</w:t>
      </w:r>
      <w:r w:rsidR="00864269">
        <w:t>45</w:t>
      </w:r>
      <w:r>
        <w:t>-001</w:t>
      </w:r>
    </w:p>
    <w:p w14:paraId="532C0AE5" w14:textId="2E035377" w:rsidR="005C260E" w:rsidRDefault="005C260E" w:rsidP="005C260E">
      <w:pPr>
        <w:widowControl w:val="0"/>
        <w:ind w:left="907"/>
      </w:pPr>
      <w:r>
        <w:t>User’s Guide:</w:t>
      </w:r>
      <w:r>
        <w:tab/>
      </w:r>
      <w:r>
        <w:tab/>
      </w:r>
      <w:r>
        <w:tab/>
      </w:r>
      <w:r>
        <w:tab/>
        <w:t>53-011</w:t>
      </w:r>
      <w:r w:rsidR="00864269">
        <w:t>45</w:t>
      </w:r>
      <w:r>
        <w:t>-100</w:t>
      </w:r>
    </w:p>
    <w:p w14:paraId="5BAAE621" w14:textId="192CAD64" w:rsidR="005C260E" w:rsidRDefault="005C260E" w:rsidP="005C260E">
      <w:pPr>
        <w:widowControl w:val="0"/>
        <w:ind w:left="907"/>
      </w:pPr>
      <w:r>
        <w:t xml:space="preserve">Installation and Applications: </w:t>
      </w:r>
      <w:r>
        <w:tab/>
      </w:r>
      <w:r>
        <w:tab/>
        <w:t>53-011</w:t>
      </w:r>
      <w:r w:rsidR="00864269">
        <w:t>45</w:t>
      </w:r>
      <w:r>
        <w:t>-200</w:t>
      </w:r>
    </w:p>
    <w:p w14:paraId="464B7241" w14:textId="54B28BD4" w:rsidR="005C260E" w:rsidRDefault="005C260E" w:rsidP="005C260E">
      <w:pPr>
        <w:widowControl w:val="0"/>
        <w:ind w:left="907"/>
      </w:pPr>
      <w:r>
        <w:t>Supporting Documents:</w:t>
      </w:r>
      <w:r>
        <w:tab/>
      </w:r>
      <w:r>
        <w:tab/>
        <w:t>53-011</w:t>
      </w:r>
      <w:r w:rsidR="00864269">
        <w:t>45</w:t>
      </w:r>
      <w:r>
        <w:t>-300</w:t>
      </w:r>
    </w:p>
    <w:p w14:paraId="576B0187" w14:textId="77777777" w:rsidR="005C260E" w:rsidRPr="003F3D0C" w:rsidRDefault="005C260E" w:rsidP="005C260E">
      <w:pPr>
        <w:widowControl w:val="0"/>
        <w:rPr>
          <w:u w:val="single"/>
        </w:rPr>
      </w:pPr>
      <w:r>
        <w:t> </w:t>
      </w:r>
    </w:p>
    <w:p w14:paraId="3F2670AF" w14:textId="77777777" w:rsidR="005C260E" w:rsidRDefault="005C260E" w:rsidP="005C260E">
      <w:pPr>
        <w:widowControl w:val="0"/>
        <w:ind w:left="720"/>
      </w:pPr>
      <w:r>
        <w:rPr>
          <w:u w:val="single"/>
        </w:rPr>
        <w:t>Contact Information:</w:t>
      </w:r>
      <w:r>
        <w:tab/>
      </w:r>
      <w:r>
        <w:tab/>
        <w:t>www.intellitec.com</w:t>
      </w:r>
    </w:p>
    <w:p w14:paraId="40BDBED8" w14:textId="77777777" w:rsidR="005C260E" w:rsidRDefault="005C260E" w:rsidP="005C260E">
      <w:pPr>
        <w:widowControl w:val="0"/>
        <w:ind w:left="907"/>
      </w:pPr>
      <w:r>
        <w:t>Intellitec Products, LLC</w:t>
      </w:r>
      <w:r>
        <w:tab/>
        <w:t>1485 Jacobs Road, De Land Florida, USA 32724</w:t>
      </w:r>
    </w:p>
    <w:p w14:paraId="4A4F3311" w14:textId="77777777" w:rsidR="005C260E" w:rsidRPr="0064067F" w:rsidRDefault="005C260E" w:rsidP="005C260E">
      <w:pPr>
        <w:widowControl w:val="0"/>
        <w:ind w:left="907"/>
      </w:pPr>
      <w:r>
        <w:tab/>
      </w:r>
      <w:r>
        <w:tab/>
      </w:r>
      <w:r>
        <w:tab/>
      </w:r>
      <w:r>
        <w:tab/>
        <w:t>(386) 738-7307</w:t>
      </w:r>
    </w:p>
    <w:p w14:paraId="7A2BF64C" w14:textId="77777777" w:rsidR="001823CD" w:rsidRPr="005C260E" w:rsidRDefault="001823CD" w:rsidP="005C260E"/>
    <w:sectPr w:rsidR="001823CD" w:rsidRPr="005C260E" w:rsidSect="00254EEA">
      <w:headerReference w:type="even" r:id="rId8"/>
      <w:headerReference w:type="default" r:id="rId9"/>
      <w:footerReference w:type="even" r:id="rId10"/>
      <w:footerReference w:type="default" r:id="rId11"/>
      <w:headerReference w:type="first" r:id="rId12"/>
      <w:pgSz w:w="12240" w:h="15840"/>
      <w:pgMar w:top="1607" w:right="720" w:bottom="1440" w:left="720" w:header="720" w:footer="6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F19B" w14:textId="77777777" w:rsidR="009027F9" w:rsidRDefault="009027F9" w:rsidP="001823CD">
      <w:pPr>
        <w:spacing w:after="0" w:line="240" w:lineRule="auto"/>
      </w:pPr>
      <w:r>
        <w:separator/>
      </w:r>
    </w:p>
  </w:endnote>
  <w:endnote w:type="continuationSeparator" w:id="0">
    <w:p w14:paraId="61738345" w14:textId="77777777" w:rsidR="009027F9" w:rsidRDefault="009027F9" w:rsidP="0018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0C95" w14:textId="77777777" w:rsidR="000211C1" w:rsidRDefault="000211C1">
    <w:pPr>
      <w:pStyle w:val="Footer"/>
    </w:pPr>
  </w:p>
  <w:p w14:paraId="137FB1EE" w14:textId="77777777" w:rsidR="00254EEA" w:rsidRDefault="00254EEA"/>
  <w:p w14:paraId="0A6AAB7C" w14:textId="77777777" w:rsidR="00254EEA" w:rsidRDefault="00254EEA"/>
  <w:p w14:paraId="30563F76" w14:textId="77777777" w:rsidR="00254EEA" w:rsidRDefault="00254EEA"/>
  <w:p w14:paraId="4B369FB0" w14:textId="77777777" w:rsidR="00254EEA" w:rsidRDefault="00254EEA"/>
  <w:p w14:paraId="75B78461" w14:textId="77777777" w:rsidR="00254EEA" w:rsidRDefault="00254E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963518"/>
      <w:docPartObj>
        <w:docPartGallery w:val="Page Numbers (Bottom of Page)"/>
        <w:docPartUnique/>
      </w:docPartObj>
    </w:sdtPr>
    <w:sdtEndPr>
      <w:rPr>
        <w:noProof/>
      </w:rPr>
    </w:sdtEndPr>
    <w:sdtContent>
      <w:p w14:paraId="45760775" w14:textId="6D4968FF" w:rsidR="00B06A15" w:rsidRDefault="00D56FB2">
        <w:pPr>
          <w:pStyle w:val="Footer"/>
          <w:jc w:val="center"/>
        </w:pPr>
        <w:r>
          <w:rPr>
            <w:noProof/>
            <w:sz w:val="20"/>
            <w:szCs w:val="20"/>
          </w:rPr>
          <w:drawing>
            <wp:anchor distT="0" distB="0" distL="114300" distR="114300" simplePos="0" relativeHeight="251656704" behindDoc="0" locked="0" layoutInCell="1" allowOverlap="1" wp14:anchorId="7DE7079E" wp14:editId="0EB37BA8">
              <wp:simplePos x="0" y="0"/>
              <wp:positionH relativeFrom="column">
                <wp:posOffset>5876925</wp:posOffset>
              </wp:positionH>
              <wp:positionV relativeFrom="paragraph">
                <wp:posOffset>72863</wp:posOffset>
              </wp:positionV>
              <wp:extent cx="981075" cy="720453"/>
              <wp:effectExtent l="0" t="0" r="0" b="3810"/>
              <wp:wrapNone/>
              <wp:docPr id="363555729" name="Picture 363555729" descr="A black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1560" name="Picture 1" descr="A black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1075" cy="720453"/>
                      </a:xfrm>
                      <a:prstGeom prst="rect">
                        <a:avLst/>
                      </a:prstGeom>
                    </pic:spPr>
                  </pic:pic>
                </a:graphicData>
              </a:graphic>
              <wp14:sizeRelH relativeFrom="margin">
                <wp14:pctWidth>0</wp14:pctWidth>
              </wp14:sizeRelH>
              <wp14:sizeRelV relativeFrom="margin">
                <wp14:pctHeight>0</wp14:pctHeight>
              </wp14:sizeRelV>
            </wp:anchor>
          </w:drawing>
        </w:r>
        <w:r w:rsidR="00B06A15">
          <w:fldChar w:fldCharType="begin"/>
        </w:r>
        <w:r w:rsidR="00B06A15">
          <w:instrText xml:space="preserve"> PAGE   \* MERGEFORMAT </w:instrText>
        </w:r>
        <w:r w:rsidR="00B06A15">
          <w:fldChar w:fldCharType="separate"/>
        </w:r>
        <w:r w:rsidR="00B06A15">
          <w:rPr>
            <w:noProof/>
          </w:rPr>
          <w:t>2</w:t>
        </w:r>
        <w:r w:rsidR="00B06A15">
          <w:rPr>
            <w:noProof/>
          </w:rPr>
          <w:fldChar w:fldCharType="end"/>
        </w:r>
      </w:p>
    </w:sdtContent>
  </w:sdt>
  <w:p w14:paraId="778BE4A1" w14:textId="7F5960D0" w:rsidR="00254EEA" w:rsidRPr="00254EEA" w:rsidRDefault="00254EEA" w:rsidP="00254EEA">
    <w:pPr>
      <w:pStyle w:val="Footer"/>
      <w:tabs>
        <w:tab w:val="clear" w:pos="4680"/>
        <w:tab w:val="clear" w:pos="9360"/>
        <w:tab w:val="left" w:pos="8865"/>
      </w:tabs>
      <w:rPr>
        <w:sz w:val="20"/>
        <w:szCs w:val="20"/>
      </w:rPr>
    </w:pPr>
    <w:r>
      <w:rPr>
        <w:sz w:val="20"/>
        <w:szCs w:val="20"/>
      </w:rPr>
      <w:t>53-</w:t>
    </w:r>
    <w:r w:rsidR="00CE1450">
      <w:rPr>
        <w:sz w:val="20"/>
        <w:szCs w:val="20"/>
      </w:rPr>
      <w:t>011</w:t>
    </w:r>
    <w:r w:rsidR="00FE0ED6">
      <w:rPr>
        <w:sz w:val="20"/>
        <w:szCs w:val="20"/>
      </w:rPr>
      <w:t>45</w:t>
    </w:r>
    <w:r w:rsidR="00CE1450">
      <w:rPr>
        <w:sz w:val="20"/>
        <w:szCs w:val="20"/>
      </w:rPr>
      <w:t>-</w:t>
    </w:r>
    <w:r w:rsidR="00864269">
      <w:rPr>
        <w:sz w:val="20"/>
        <w:szCs w:val="20"/>
      </w:rPr>
      <w:t>1</w:t>
    </w:r>
    <w:r w:rsidR="0088272F">
      <w:rPr>
        <w:sz w:val="20"/>
        <w:szCs w:val="20"/>
      </w:rPr>
      <w:t>00</w:t>
    </w:r>
    <w:r>
      <w:rPr>
        <w:sz w:val="20"/>
        <w:szCs w:val="20"/>
      </w:rPr>
      <w:t xml:space="preserve"> REV </w:t>
    </w:r>
    <w:r w:rsidR="00FE0ED6">
      <w:rPr>
        <w:sz w:val="20"/>
        <w:szCs w:val="20"/>
      </w:rPr>
      <w:t>A</w:t>
    </w:r>
    <w:r w:rsidR="00D56FB2">
      <w:rPr>
        <w:sz w:val="20"/>
        <w:szCs w:val="20"/>
      </w:rPr>
      <w:tab/>
    </w:r>
  </w:p>
  <w:p w14:paraId="59C36DF8" w14:textId="77777777" w:rsidR="00254EEA" w:rsidRDefault="00254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FFF9" w14:textId="77777777" w:rsidR="009027F9" w:rsidRDefault="009027F9" w:rsidP="001823CD">
      <w:pPr>
        <w:spacing w:after="0" w:line="240" w:lineRule="auto"/>
      </w:pPr>
      <w:r>
        <w:separator/>
      </w:r>
    </w:p>
  </w:footnote>
  <w:footnote w:type="continuationSeparator" w:id="0">
    <w:p w14:paraId="787634F2" w14:textId="77777777" w:rsidR="009027F9" w:rsidRDefault="009027F9" w:rsidP="0018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2320" w14:textId="3CA35000" w:rsidR="000211C1" w:rsidRDefault="004B55C3">
    <w:pPr>
      <w:pStyle w:val="Header"/>
    </w:pPr>
    <w:r>
      <w:rPr>
        <w:noProof/>
      </w:rPr>
      <w:pict w14:anchorId="586F3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55766" o:spid="_x0000_s1027" type="#_x0000_t136" style="position:absolute;margin-left:0;margin-top:0;width:609.1pt;height:152.25pt;rotation:315;z-index:-251657728;mso-position-horizontal:center;mso-position-horizontal-relative:margin;mso-position-vertical:center;mso-position-vertical-relative:margin" o:allowincell="f" fillcolor="red" stroked="f">
          <v:fill opacity=".5"/>
          <v:textpath style="font-family:&quot;Calibri&quot;;font-size:1pt" string="PRELIMINARY"/>
          <w10:wrap anchorx="margin" anchory="margin"/>
        </v:shape>
      </w:pict>
    </w:r>
  </w:p>
  <w:p w14:paraId="08D9A16F" w14:textId="77777777" w:rsidR="00254EEA" w:rsidRDefault="00254EEA"/>
  <w:p w14:paraId="0301F8BB" w14:textId="77777777" w:rsidR="00254EEA" w:rsidRDefault="00254EEA"/>
  <w:p w14:paraId="230CD2E2" w14:textId="77777777" w:rsidR="00254EEA" w:rsidRDefault="00254EEA"/>
  <w:p w14:paraId="21F14402" w14:textId="77777777" w:rsidR="00254EEA" w:rsidRDefault="00254EEA"/>
  <w:p w14:paraId="2AB413DE" w14:textId="77777777" w:rsidR="00254EEA" w:rsidRDefault="00254E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FF2C" w14:textId="3A9C24CD" w:rsidR="00B06A15" w:rsidRDefault="004B55C3" w:rsidP="00B06A15">
    <w:pPr>
      <w:pStyle w:val="Header"/>
      <w:ind w:firstLine="720"/>
      <w:rPr>
        <w:sz w:val="28"/>
        <w:szCs w:val="28"/>
      </w:rPr>
    </w:pPr>
    <w:r>
      <w:rPr>
        <w:noProof/>
      </w:rPr>
      <w:pict w14:anchorId="5310A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55767" o:spid="_x0000_s1028" type="#_x0000_t136" style="position:absolute;left:0;text-align:left;margin-left:0;margin-top:0;width:609.1pt;height:152.25pt;rotation:315;z-index:-251656704;mso-position-horizontal:center;mso-position-horizontal-relative:margin;mso-position-vertical:center;mso-position-vertical-relative:margin" o:allowincell="f" fillcolor="red" stroked="f">
          <v:fill opacity=".5"/>
          <v:textpath style="font-family:&quot;Calibri&quot;;font-size:1pt" string="PRELIMINARY"/>
          <w10:wrap anchorx="margin" anchory="margin"/>
        </v:shape>
      </w:pict>
    </w:r>
    <w:r w:rsidR="00B06A15">
      <w:rPr>
        <w:noProof/>
        <w:sz w:val="28"/>
        <w:szCs w:val="28"/>
      </w:rPr>
      <w:drawing>
        <wp:anchor distT="0" distB="0" distL="114300" distR="114300" simplePos="0" relativeHeight="251655680" behindDoc="1" locked="0" layoutInCell="1" allowOverlap="1" wp14:anchorId="65B92A7D" wp14:editId="3C43C398">
          <wp:simplePos x="0" y="0"/>
          <wp:positionH relativeFrom="column">
            <wp:posOffset>0</wp:posOffset>
          </wp:positionH>
          <wp:positionV relativeFrom="paragraph">
            <wp:posOffset>-295275</wp:posOffset>
          </wp:positionV>
          <wp:extent cx="6858000" cy="828675"/>
          <wp:effectExtent l="0" t="0" r="0" b="9525"/>
          <wp:wrapNone/>
          <wp:docPr id="1924840502" name="Picture 192484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30605" name="Picture 1067430605"/>
                  <pic:cNvPicPr/>
                </pic:nvPicPr>
                <pic:blipFill>
                  <a:blip r:embed="rId1">
                    <a:extLst>
                      <a:ext uri="{28A0092B-C50C-407E-A947-70E740481C1C}">
                        <a14:useLocalDpi xmlns:a14="http://schemas.microsoft.com/office/drawing/2010/main" val="0"/>
                      </a:ext>
                    </a:extLst>
                  </a:blip>
                  <a:stretch>
                    <a:fillRect/>
                  </a:stretch>
                </pic:blipFill>
                <pic:spPr>
                  <a:xfrm>
                    <a:off x="0" y="0"/>
                    <a:ext cx="6858000" cy="828675"/>
                  </a:xfrm>
                  <a:prstGeom prst="rect">
                    <a:avLst/>
                  </a:prstGeom>
                </pic:spPr>
              </pic:pic>
            </a:graphicData>
          </a:graphic>
        </wp:anchor>
      </w:drawing>
    </w:r>
    <w:r w:rsidR="00864269">
      <w:rPr>
        <w:sz w:val="28"/>
        <w:szCs w:val="28"/>
      </w:rPr>
      <w:t>USER’S</w:t>
    </w:r>
    <w:r w:rsidR="0031325E">
      <w:rPr>
        <w:sz w:val="28"/>
        <w:szCs w:val="28"/>
      </w:rPr>
      <w:t xml:space="preserve"> GUIDE</w:t>
    </w:r>
  </w:p>
  <w:p w14:paraId="7D8D6FA6" w14:textId="2518829D" w:rsidR="00254EEA" w:rsidRPr="00254EEA" w:rsidRDefault="00CE1450" w:rsidP="00254EEA">
    <w:pPr>
      <w:pStyle w:val="Header"/>
      <w:ind w:firstLine="720"/>
    </w:pPr>
    <w:r>
      <w:t>53-011</w:t>
    </w:r>
    <w:r w:rsidR="00FE0ED6">
      <w:t>45</w:t>
    </w:r>
    <w:r>
      <w:t>-</w:t>
    </w:r>
    <w:r w:rsidR="00864269">
      <w:t>1</w:t>
    </w:r>
    <w:r w:rsidR="0088272F">
      <w:t>00</w:t>
    </w:r>
    <w:r w:rsidR="001823CD">
      <w:ptab w:relativeTo="margin" w:alignment="center" w:leader="none"/>
    </w:r>
    <w:r w:rsidR="001823CD">
      <w:ptab w:relativeTo="margin" w:alignment="right" w:leader="none"/>
    </w:r>
  </w:p>
  <w:p w14:paraId="367B332A" w14:textId="77777777" w:rsidR="00254EEA" w:rsidRDefault="00254EEA" w:rsidP="00254E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5A07" w14:textId="6815F86B" w:rsidR="000C75B6" w:rsidRDefault="004B55C3">
    <w:pPr>
      <w:pStyle w:val="Header"/>
    </w:pPr>
    <w:r>
      <w:rPr>
        <w:noProof/>
      </w:rPr>
      <w:pict w14:anchorId="5E0E5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55765" o:spid="_x0000_s1026" type="#_x0000_t136" style="position:absolute;margin-left:0;margin-top:0;width:609.1pt;height:152.25pt;rotation:315;z-index:-251658752;mso-position-horizontal:center;mso-position-horizontal-relative:margin;mso-position-vertical:center;mso-position-vertical-relative:margin" o:allowincell="f" fillcolor="red" stroked="f">
          <v:fill opacity=".5"/>
          <v:textpath style="font-family:&quot;Calibri&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9B"/>
    <w:multiLevelType w:val="hybridMultilevel"/>
    <w:tmpl w:val="95FC7E74"/>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142D"/>
    <w:multiLevelType w:val="hybridMultilevel"/>
    <w:tmpl w:val="EF4240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00588"/>
    <w:multiLevelType w:val="hybridMultilevel"/>
    <w:tmpl w:val="D9401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603DF7"/>
    <w:multiLevelType w:val="hybridMultilevel"/>
    <w:tmpl w:val="18A0F54C"/>
    <w:lvl w:ilvl="0" w:tplc="4C3E6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5334"/>
    <w:multiLevelType w:val="hybridMultilevel"/>
    <w:tmpl w:val="7518A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9958D5"/>
    <w:multiLevelType w:val="hybridMultilevel"/>
    <w:tmpl w:val="ABAEDA3E"/>
    <w:lvl w:ilvl="0" w:tplc="235E4C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F87015B"/>
    <w:multiLevelType w:val="hybridMultilevel"/>
    <w:tmpl w:val="7728A4D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8B2351"/>
    <w:multiLevelType w:val="hybridMultilevel"/>
    <w:tmpl w:val="4A24B16C"/>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03428"/>
    <w:multiLevelType w:val="hybridMultilevel"/>
    <w:tmpl w:val="E612C4F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78827575"/>
    <w:multiLevelType w:val="hybridMultilevel"/>
    <w:tmpl w:val="A5E00090"/>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2577D"/>
    <w:multiLevelType w:val="hybridMultilevel"/>
    <w:tmpl w:val="27A8E6AA"/>
    <w:lvl w:ilvl="0" w:tplc="A3208224">
      <w:start w:val="1"/>
      <w:numFmt w:val="bullet"/>
      <w:lvlText w:val=""/>
      <w:lvlJc w:val="left"/>
      <w:pPr>
        <w:ind w:left="806"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753056">
    <w:abstractNumId w:val="8"/>
  </w:num>
  <w:num w:numId="2" w16cid:durableId="1544946644">
    <w:abstractNumId w:val="6"/>
  </w:num>
  <w:num w:numId="3" w16cid:durableId="327828329">
    <w:abstractNumId w:val="10"/>
  </w:num>
  <w:num w:numId="4" w16cid:durableId="1955869268">
    <w:abstractNumId w:val="9"/>
  </w:num>
  <w:num w:numId="5" w16cid:durableId="28604556">
    <w:abstractNumId w:val="7"/>
  </w:num>
  <w:num w:numId="6" w16cid:durableId="1993413322">
    <w:abstractNumId w:val="0"/>
  </w:num>
  <w:num w:numId="7" w16cid:durableId="182715211">
    <w:abstractNumId w:val="2"/>
  </w:num>
  <w:num w:numId="8" w16cid:durableId="2147158891">
    <w:abstractNumId w:val="5"/>
  </w:num>
  <w:num w:numId="9" w16cid:durableId="535626264">
    <w:abstractNumId w:val="1"/>
  </w:num>
  <w:num w:numId="10" w16cid:durableId="1569657842">
    <w:abstractNumId w:val="3"/>
  </w:num>
  <w:num w:numId="11" w16cid:durableId="87327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3CD"/>
    <w:rsid w:val="000211C1"/>
    <w:rsid w:val="000362A5"/>
    <w:rsid w:val="000C75B6"/>
    <w:rsid w:val="001823CD"/>
    <w:rsid w:val="001E4A19"/>
    <w:rsid w:val="00254EEA"/>
    <w:rsid w:val="002B467A"/>
    <w:rsid w:val="002C0E48"/>
    <w:rsid w:val="0031325E"/>
    <w:rsid w:val="00386189"/>
    <w:rsid w:val="0045530A"/>
    <w:rsid w:val="00477BB6"/>
    <w:rsid w:val="00485E89"/>
    <w:rsid w:val="004B55C3"/>
    <w:rsid w:val="004B6850"/>
    <w:rsid w:val="00546258"/>
    <w:rsid w:val="00591C20"/>
    <w:rsid w:val="005C260E"/>
    <w:rsid w:val="0062029E"/>
    <w:rsid w:val="006319D4"/>
    <w:rsid w:val="0068052D"/>
    <w:rsid w:val="00712371"/>
    <w:rsid w:val="00864269"/>
    <w:rsid w:val="0088272F"/>
    <w:rsid w:val="008C651A"/>
    <w:rsid w:val="009027F9"/>
    <w:rsid w:val="00B06A15"/>
    <w:rsid w:val="00BA500F"/>
    <w:rsid w:val="00BF1EE6"/>
    <w:rsid w:val="00C46491"/>
    <w:rsid w:val="00CE1450"/>
    <w:rsid w:val="00D156D6"/>
    <w:rsid w:val="00D56FB2"/>
    <w:rsid w:val="00DD3517"/>
    <w:rsid w:val="00E0085C"/>
    <w:rsid w:val="00E477DD"/>
    <w:rsid w:val="00EC0DC3"/>
    <w:rsid w:val="00F02881"/>
    <w:rsid w:val="00F6236F"/>
    <w:rsid w:val="00FE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383D"/>
  <w15:docId w15:val="{E5BFE3AB-09AD-4A2A-AB7A-56A708F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EA"/>
    <w:pPr>
      <w:spacing w:after="200" w:line="276" w:lineRule="auto"/>
    </w:pPr>
    <w:rPr>
      <w:kern w:val="0"/>
      <w14:ligatures w14:val="none"/>
    </w:rPr>
  </w:style>
  <w:style w:type="paragraph" w:styleId="Heading1">
    <w:name w:val="heading 1"/>
    <w:link w:val="Heading1Char"/>
    <w:uiPriority w:val="9"/>
    <w:qFormat/>
    <w:rsid w:val="00254EEA"/>
    <w:pPr>
      <w:spacing w:after="0"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3CD"/>
  </w:style>
  <w:style w:type="paragraph" w:styleId="Footer">
    <w:name w:val="footer"/>
    <w:basedOn w:val="Normal"/>
    <w:link w:val="FooterChar"/>
    <w:uiPriority w:val="99"/>
    <w:unhideWhenUsed/>
    <w:rsid w:val="0018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3CD"/>
  </w:style>
  <w:style w:type="character" w:customStyle="1" w:styleId="Heading1Char">
    <w:name w:val="Heading 1 Char"/>
    <w:basedOn w:val="DefaultParagraphFont"/>
    <w:link w:val="Heading1"/>
    <w:uiPriority w:val="9"/>
    <w:rsid w:val="00254EEA"/>
    <w:rPr>
      <w:rFonts w:ascii="Cambria" w:eastAsia="Times New Roman" w:hAnsi="Cambria" w:cs="Times New Roman"/>
      <w:color w:val="000000"/>
      <w:kern w:val="28"/>
      <w:sz w:val="36"/>
      <w:szCs w:val="36"/>
      <w14:ligatures w14:val="standard"/>
      <w14:cntxtAlts/>
    </w:rPr>
  </w:style>
  <w:style w:type="paragraph" w:styleId="ListParagraph">
    <w:name w:val="List Paragraph"/>
    <w:basedOn w:val="Normal"/>
    <w:uiPriority w:val="34"/>
    <w:qFormat/>
    <w:rsid w:val="00254EEA"/>
    <w:pPr>
      <w:ind w:left="720"/>
      <w:contextualSpacing/>
    </w:pPr>
  </w:style>
  <w:style w:type="table" w:styleId="TableGrid">
    <w:name w:val="Table Grid"/>
    <w:basedOn w:val="TableNormal"/>
    <w:uiPriority w:val="59"/>
    <w:rsid w:val="00254E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54EEA"/>
    <w:pPr>
      <w:spacing w:after="0" w:line="240" w:lineRule="auto"/>
    </w:pPr>
    <w:rPr>
      <w:rFonts w:ascii="Calibri" w:eastAsia="Times New Roman" w:hAnsi="Calibri" w:cs="Times New Roman"/>
      <w:color w:val="000000"/>
      <w:kern w:val="28"/>
      <w14:ligatures w14:val="standard"/>
      <w14:cntxtAlts/>
    </w:rPr>
  </w:style>
  <w:style w:type="character" w:customStyle="1" w:styleId="BodyTextChar">
    <w:name w:val="Body Text Char"/>
    <w:basedOn w:val="DefaultParagraphFont"/>
    <w:link w:val="BodyText"/>
    <w:uiPriority w:val="99"/>
    <w:rsid w:val="00254EEA"/>
    <w:rPr>
      <w:rFonts w:ascii="Calibri" w:eastAsia="Times New Roman" w:hAnsi="Calibri"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3</Pages>
  <Words>594</Words>
  <Characters>3799</Characters>
  <Application>Microsoft Office Word</Application>
  <DocSecurity>0</DocSecurity>
  <Lines>111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Pesce</dc:creator>
  <cp:keywords/>
  <dc:description/>
  <cp:lastModifiedBy>John Ciambriello</cp:lastModifiedBy>
  <cp:revision>6</cp:revision>
  <cp:lastPrinted>2023-07-05T15:25:00Z</cp:lastPrinted>
  <dcterms:created xsi:type="dcterms:W3CDTF">2024-01-25T20:26:00Z</dcterms:created>
  <dcterms:modified xsi:type="dcterms:W3CDTF">2024-07-11T14:30:00Z</dcterms:modified>
</cp:coreProperties>
</file>